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12784" w:type="dxa"/>
        <w:jc w:val="center"/>
        <w:tblLook w:val="04A0" w:firstRow="1" w:lastRow="0" w:firstColumn="1" w:lastColumn="0" w:noHBand="0" w:noVBand="1"/>
      </w:tblPr>
      <w:tblGrid>
        <w:gridCol w:w="1539"/>
        <w:gridCol w:w="2785"/>
        <w:gridCol w:w="1097"/>
        <w:gridCol w:w="1275"/>
        <w:gridCol w:w="1560"/>
        <w:gridCol w:w="2264"/>
        <w:gridCol w:w="2264"/>
      </w:tblGrid>
      <w:tr w:rsidR="004823CC" w:rsidRPr="00BE1537" w14:paraId="0E3C890E" w14:textId="2D8A3F83" w:rsidTr="004823CC">
        <w:trPr>
          <w:trHeight w:val="989"/>
          <w:jc w:val="center"/>
        </w:trPr>
        <w:tc>
          <w:tcPr>
            <w:tcW w:w="1539" w:type="dxa"/>
            <w:shd w:val="clear" w:color="auto" w:fill="BFBFBF" w:themeFill="background1" w:themeFillShade="BF"/>
            <w:vAlign w:val="center"/>
          </w:tcPr>
          <w:p w14:paraId="5EC234E4" w14:textId="77777777" w:rsidR="004823CC" w:rsidRPr="004823CC" w:rsidRDefault="004823CC" w:rsidP="002C7AD5">
            <w:pPr>
              <w:jc w:val="center"/>
              <w:rPr>
                <w:rFonts w:cs="B Zar"/>
                <w:b/>
                <w:bCs/>
                <w:sz w:val="18"/>
                <w:szCs w:val="18"/>
                <w:rtl/>
              </w:rPr>
            </w:pPr>
            <w:r w:rsidRPr="004823CC">
              <w:rPr>
                <w:rFonts w:cs="B Zar" w:hint="cs"/>
                <w:b/>
                <w:bCs/>
                <w:sz w:val="18"/>
                <w:szCs w:val="18"/>
                <w:rtl/>
              </w:rPr>
              <w:t>ردیف</w:t>
            </w:r>
          </w:p>
        </w:tc>
        <w:tc>
          <w:tcPr>
            <w:tcW w:w="2785" w:type="dxa"/>
            <w:shd w:val="clear" w:color="auto" w:fill="BFBFBF" w:themeFill="background1" w:themeFillShade="BF"/>
            <w:vAlign w:val="center"/>
          </w:tcPr>
          <w:p w14:paraId="5B73ECF0" w14:textId="77777777" w:rsidR="004823CC" w:rsidRPr="004823CC" w:rsidRDefault="004823CC" w:rsidP="002C7AD5">
            <w:pPr>
              <w:jc w:val="center"/>
              <w:rPr>
                <w:rFonts w:cs="B Zar"/>
                <w:b/>
                <w:bCs/>
                <w:sz w:val="18"/>
                <w:szCs w:val="18"/>
                <w:rtl/>
              </w:rPr>
            </w:pPr>
            <w:r w:rsidRPr="004823CC">
              <w:rPr>
                <w:rFonts w:cs="B Zar" w:hint="cs"/>
                <w:b/>
                <w:bCs/>
                <w:sz w:val="18"/>
                <w:szCs w:val="18"/>
                <w:rtl/>
              </w:rPr>
              <w:t>نام خودرو</w:t>
            </w:r>
          </w:p>
        </w:tc>
        <w:tc>
          <w:tcPr>
            <w:tcW w:w="1097" w:type="dxa"/>
            <w:shd w:val="clear" w:color="auto" w:fill="BFBFBF" w:themeFill="background1" w:themeFillShade="BF"/>
            <w:vAlign w:val="center"/>
          </w:tcPr>
          <w:p w14:paraId="0955926D" w14:textId="77777777" w:rsidR="004823CC" w:rsidRPr="004823CC" w:rsidRDefault="004823CC" w:rsidP="002C7AD5">
            <w:pPr>
              <w:jc w:val="center"/>
              <w:rPr>
                <w:rFonts w:cs="B Zar"/>
                <w:b/>
                <w:bCs/>
                <w:sz w:val="18"/>
                <w:szCs w:val="18"/>
                <w:rtl/>
              </w:rPr>
            </w:pPr>
            <w:r w:rsidRPr="004823CC">
              <w:rPr>
                <w:rFonts w:cs="B Zar" w:hint="cs"/>
                <w:b/>
                <w:bCs/>
                <w:sz w:val="18"/>
                <w:szCs w:val="18"/>
                <w:rtl/>
              </w:rPr>
              <w:t>تعداد مورد نیاز</w:t>
            </w:r>
          </w:p>
        </w:tc>
        <w:tc>
          <w:tcPr>
            <w:tcW w:w="1275" w:type="dxa"/>
            <w:shd w:val="clear" w:color="auto" w:fill="BFBFBF" w:themeFill="background1" w:themeFillShade="BF"/>
            <w:vAlign w:val="center"/>
          </w:tcPr>
          <w:p w14:paraId="32DF0DE8" w14:textId="77777777" w:rsidR="004823CC" w:rsidRPr="004823CC" w:rsidRDefault="004823CC" w:rsidP="002C7AD5">
            <w:pPr>
              <w:jc w:val="center"/>
              <w:rPr>
                <w:rFonts w:cs="B Zar"/>
                <w:b/>
                <w:bCs/>
                <w:sz w:val="18"/>
                <w:szCs w:val="18"/>
                <w:rtl/>
              </w:rPr>
            </w:pPr>
            <w:r w:rsidRPr="004823CC">
              <w:rPr>
                <w:rFonts w:cs="B Zar" w:hint="cs"/>
                <w:b/>
                <w:bCs/>
                <w:sz w:val="18"/>
                <w:szCs w:val="18"/>
                <w:rtl/>
              </w:rPr>
              <w:t>مدل</w:t>
            </w:r>
          </w:p>
        </w:tc>
        <w:tc>
          <w:tcPr>
            <w:tcW w:w="1560" w:type="dxa"/>
            <w:shd w:val="clear" w:color="auto" w:fill="BFBFBF" w:themeFill="background1" w:themeFillShade="BF"/>
            <w:vAlign w:val="center"/>
          </w:tcPr>
          <w:p w14:paraId="32253A80" w14:textId="77777777" w:rsidR="004823CC" w:rsidRPr="004823CC" w:rsidRDefault="004823CC" w:rsidP="002C7AD5">
            <w:pPr>
              <w:jc w:val="center"/>
              <w:rPr>
                <w:rFonts w:cs="B Zar"/>
                <w:b/>
                <w:bCs/>
                <w:sz w:val="18"/>
                <w:szCs w:val="18"/>
                <w:rtl/>
              </w:rPr>
            </w:pPr>
            <w:r w:rsidRPr="004823CC">
              <w:rPr>
                <w:rFonts w:cs="B Zar" w:hint="cs"/>
                <w:b/>
                <w:bCs/>
                <w:sz w:val="18"/>
                <w:szCs w:val="18"/>
                <w:rtl/>
              </w:rPr>
              <w:t>مبلغ پایه</w:t>
            </w:r>
          </w:p>
          <w:p w14:paraId="59420356" w14:textId="77777777" w:rsidR="004823CC" w:rsidRPr="004823CC" w:rsidRDefault="004823CC" w:rsidP="002C7AD5">
            <w:pPr>
              <w:jc w:val="center"/>
              <w:rPr>
                <w:rFonts w:cs="B Zar"/>
                <w:b/>
                <w:bCs/>
                <w:sz w:val="18"/>
                <w:szCs w:val="18"/>
                <w:rtl/>
              </w:rPr>
            </w:pPr>
            <w:r w:rsidRPr="004823CC">
              <w:rPr>
                <w:rFonts w:cs="B Zar" w:hint="cs"/>
                <w:b/>
                <w:bCs/>
                <w:sz w:val="18"/>
                <w:szCs w:val="18"/>
                <w:rtl/>
              </w:rPr>
              <w:t>به ازای هر ساعت حرکت خودرو (ریال)</w:t>
            </w:r>
          </w:p>
        </w:tc>
        <w:tc>
          <w:tcPr>
            <w:tcW w:w="2264" w:type="dxa"/>
            <w:shd w:val="clear" w:color="auto" w:fill="BFBFBF" w:themeFill="background1" w:themeFillShade="BF"/>
            <w:vAlign w:val="center"/>
          </w:tcPr>
          <w:p w14:paraId="27470867" w14:textId="77777777" w:rsidR="004823CC" w:rsidRDefault="004823CC" w:rsidP="002C7AD5">
            <w:pPr>
              <w:jc w:val="center"/>
              <w:rPr>
                <w:rFonts w:cs="B Zar"/>
                <w:b/>
                <w:bCs/>
                <w:sz w:val="18"/>
                <w:szCs w:val="18"/>
                <w:rtl/>
              </w:rPr>
            </w:pPr>
            <w:r w:rsidRPr="004823CC">
              <w:rPr>
                <w:rFonts w:cs="B Zar" w:hint="cs"/>
                <w:b/>
                <w:bCs/>
                <w:sz w:val="18"/>
                <w:szCs w:val="18"/>
                <w:rtl/>
              </w:rPr>
              <w:t>مبلغ تضمین شرکت در مناقصه</w:t>
            </w:r>
          </w:p>
          <w:p w14:paraId="53A579BF" w14:textId="4EB319E7" w:rsidR="004823CC" w:rsidRPr="004823CC" w:rsidRDefault="004823CC" w:rsidP="002C7AD5">
            <w:pPr>
              <w:jc w:val="center"/>
              <w:rPr>
                <w:rFonts w:cs="B Zar"/>
                <w:b/>
                <w:bCs/>
                <w:sz w:val="18"/>
                <w:szCs w:val="18"/>
                <w:rtl/>
              </w:rPr>
            </w:pPr>
            <w:r>
              <w:rPr>
                <w:rFonts w:cs="B Zar" w:hint="cs"/>
                <w:b/>
                <w:bCs/>
                <w:sz w:val="18"/>
                <w:szCs w:val="18"/>
                <w:rtl/>
              </w:rPr>
              <w:t>(ریال)</w:t>
            </w:r>
          </w:p>
        </w:tc>
        <w:tc>
          <w:tcPr>
            <w:tcW w:w="2264" w:type="dxa"/>
            <w:shd w:val="clear" w:color="auto" w:fill="BFBFBF" w:themeFill="background1" w:themeFillShade="BF"/>
            <w:vAlign w:val="center"/>
          </w:tcPr>
          <w:p w14:paraId="2BB35E81" w14:textId="10DEEA08" w:rsidR="004823CC" w:rsidRPr="004823CC" w:rsidRDefault="004823CC" w:rsidP="004823CC">
            <w:pPr>
              <w:jc w:val="center"/>
              <w:rPr>
                <w:rFonts w:cs="B Zar" w:hint="cs"/>
                <w:b/>
                <w:bCs/>
                <w:sz w:val="18"/>
                <w:szCs w:val="18"/>
                <w:rtl/>
              </w:rPr>
            </w:pPr>
            <w:r w:rsidRPr="004823CC">
              <w:rPr>
                <w:rFonts w:cs="B Zar" w:hint="cs"/>
                <w:b/>
                <w:bCs/>
                <w:sz w:val="18"/>
                <w:szCs w:val="18"/>
                <w:rtl/>
              </w:rPr>
              <w:t>مدت قرارداد</w:t>
            </w:r>
          </w:p>
        </w:tc>
      </w:tr>
      <w:tr w:rsidR="004823CC" w:rsidRPr="00BE1537" w14:paraId="07915EF6" w14:textId="1B3D5382" w:rsidTr="004823CC">
        <w:trPr>
          <w:trHeight w:val="963"/>
          <w:jc w:val="center"/>
        </w:trPr>
        <w:tc>
          <w:tcPr>
            <w:tcW w:w="1539" w:type="dxa"/>
            <w:shd w:val="clear" w:color="auto" w:fill="BFBFBF" w:themeFill="background1" w:themeFillShade="BF"/>
            <w:vAlign w:val="center"/>
          </w:tcPr>
          <w:p w14:paraId="43628A72" w14:textId="77777777" w:rsidR="004823CC" w:rsidRPr="004823CC" w:rsidRDefault="004823CC" w:rsidP="002C7AD5">
            <w:pPr>
              <w:jc w:val="center"/>
              <w:rPr>
                <w:rFonts w:cs="B Zar"/>
                <w:rtl/>
              </w:rPr>
            </w:pPr>
            <w:r w:rsidRPr="004823CC">
              <w:rPr>
                <w:rFonts w:cs="B Zar" w:hint="cs"/>
                <w:rtl/>
              </w:rPr>
              <w:t>1</w:t>
            </w:r>
          </w:p>
        </w:tc>
        <w:tc>
          <w:tcPr>
            <w:tcW w:w="2785" w:type="dxa"/>
            <w:vAlign w:val="center"/>
          </w:tcPr>
          <w:p w14:paraId="3665FF45" w14:textId="77777777" w:rsidR="004823CC" w:rsidRPr="004823CC" w:rsidRDefault="004823CC" w:rsidP="002C7AD5">
            <w:pPr>
              <w:jc w:val="center"/>
              <w:rPr>
                <w:rFonts w:cs="B Zar"/>
                <w:rtl/>
              </w:rPr>
            </w:pPr>
            <w:r w:rsidRPr="004823CC">
              <w:rPr>
                <w:rFonts w:cs="B Zar" w:hint="cs"/>
                <w:rtl/>
              </w:rPr>
              <w:t xml:space="preserve">دنا </w:t>
            </w:r>
            <w:r w:rsidRPr="004823CC">
              <w:rPr>
                <w:rFonts w:ascii="Sakkal Majalla" w:hAnsi="Sakkal Majalla" w:cs="Sakkal Majalla" w:hint="cs"/>
                <w:rtl/>
              </w:rPr>
              <w:t>–</w:t>
            </w:r>
            <w:r w:rsidRPr="004823CC">
              <w:rPr>
                <w:rFonts w:cs="B Zar" w:hint="cs"/>
                <w:rtl/>
              </w:rPr>
              <w:t xml:space="preserve"> تارا </w:t>
            </w:r>
            <w:r w:rsidRPr="004823CC">
              <w:rPr>
                <w:rFonts w:ascii="Sakkal Majalla" w:hAnsi="Sakkal Majalla" w:cs="Sakkal Majalla" w:hint="cs"/>
                <w:rtl/>
              </w:rPr>
              <w:t>–</w:t>
            </w:r>
            <w:r w:rsidRPr="004823CC">
              <w:rPr>
                <w:rFonts w:cs="B Zar" w:hint="cs"/>
                <w:rtl/>
              </w:rPr>
              <w:t xml:space="preserve"> رانا - پژو پارس - پژو405 </w:t>
            </w:r>
            <w:r w:rsidRPr="004823CC">
              <w:rPr>
                <w:rFonts w:ascii="Sakkal Majalla" w:hAnsi="Sakkal Majalla" w:cs="Sakkal Majalla" w:hint="cs"/>
                <w:rtl/>
              </w:rPr>
              <w:t>–</w:t>
            </w:r>
            <w:r w:rsidRPr="004823CC">
              <w:rPr>
                <w:rFonts w:cs="B Zar" w:hint="cs"/>
                <w:rtl/>
              </w:rPr>
              <w:t xml:space="preserve"> سمند - ال90 - پژو206 </w:t>
            </w:r>
            <w:r w:rsidRPr="004823CC">
              <w:rPr>
                <w:rFonts w:ascii="Sakkal Majalla" w:hAnsi="Sakkal Majalla" w:cs="Sakkal Majalla" w:hint="cs"/>
                <w:rtl/>
              </w:rPr>
              <w:t>–</w:t>
            </w:r>
            <w:r w:rsidRPr="004823CC">
              <w:rPr>
                <w:rFonts w:cs="B Zar" w:hint="cs"/>
                <w:rtl/>
              </w:rPr>
              <w:t xml:space="preserve"> لیفان - ام وی ام (غیر از مدل 110)</w:t>
            </w:r>
          </w:p>
        </w:tc>
        <w:tc>
          <w:tcPr>
            <w:tcW w:w="1097" w:type="dxa"/>
            <w:vMerge w:val="restart"/>
            <w:vAlign w:val="center"/>
          </w:tcPr>
          <w:p w14:paraId="01FEDB54" w14:textId="77777777" w:rsidR="004823CC" w:rsidRPr="004823CC" w:rsidRDefault="004823CC" w:rsidP="002C7AD5">
            <w:pPr>
              <w:jc w:val="center"/>
              <w:rPr>
                <w:rFonts w:cs="B Zar"/>
                <w:rtl/>
              </w:rPr>
            </w:pPr>
            <w:r w:rsidRPr="004823CC">
              <w:rPr>
                <w:rFonts w:cs="B Zar" w:hint="cs"/>
                <w:rtl/>
              </w:rPr>
              <w:t>70دستگاه</w:t>
            </w:r>
          </w:p>
        </w:tc>
        <w:tc>
          <w:tcPr>
            <w:tcW w:w="1275" w:type="dxa"/>
            <w:vMerge w:val="restart"/>
            <w:vAlign w:val="center"/>
          </w:tcPr>
          <w:p w14:paraId="2930D027" w14:textId="77777777" w:rsidR="004823CC" w:rsidRPr="004823CC" w:rsidRDefault="004823CC" w:rsidP="002C7AD5">
            <w:pPr>
              <w:jc w:val="center"/>
              <w:rPr>
                <w:rFonts w:cs="B Zar"/>
                <w:rtl/>
              </w:rPr>
            </w:pPr>
            <w:r w:rsidRPr="004823CC">
              <w:rPr>
                <w:rFonts w:cs="B Zar" w:hint="cs"/>
                <w:rtl/>
              </w:rPr>
              <w:t>1392 شمسی</w:t>
            </w:r>
          </w:p>
          <w:p w14:paraId="50AE2935" w14:textId="77777777" w:rsidR="004823CC" w:rsidRPr="004823CC" w:rsidRDefault="004823CC" w:rsidP="002C7AD5">
            <w:pPr>
              <w:jc w:val="center"/>
              <w:rPr>
                <w:rFonts w:cs="B Zar"/>
                <w:rtl/>
              </w:rPr>
            </w:pPr>
            <w:r w:rsidRPr="004823CC">
              <w:rPr>
                <w:rFonts w:cs="B Zar" w:hint="cs"/>
                <w:rtl/>
              </w:rPr>
              <w:t xml:space="preserve"> و بالاتر </w:t>
            </w:r>
          </w:p>
        </w:tc>
        <w:tc>
          <w:tcPr>
            <w:tcW w:w="1560" w:type="dxa"/>
            <w:vAlign w:val="center"/>
          </w:tcPr>
          <w:p w14:paraId="446FBA35" w14:textId="77777777" w:rsidR="004823CC" w:rsidRPr="004823CC" w:rsidRDefault="004823CC" w:rsidP="004823CC">
            <w:pPr>
              <w:jc w:val="center"/>
              <w:rPr>
                <w:rFonts w:cs="B Zar"/>
                <w:rtl/>
              </w:rPr>
            </w:pPr>
            <w:r w:rsidRPr="004823CC">
              <w:rPr>
                <w:rFonts w:cs="B Zar" w:hint="cs"/>
                <w:rtl/>
              </w:rPr>
              <w:t>2.445.450</w:t>
            </w:r>
          </w:p>
        </w:tc>
        <w:tc>
          <w:tcPr>
            <w:tcW w:w="2264" w:type="dxa"/>
            <w:vMerge w:val="restart"/>
            <w:vAlign w:val="center"/>
          </w:tcPr>
          <w:p w14:paraId="0D4768EF" w14:textId="40175AA1" w:rsidR="004823CC" w:rsidRPr="004823CC" w:rsidRDefault="004823CC" w:rsidP="002C7AD5">
            <w:pPr>
              <w:jc w:val="center"/>
              <w:rPr>
                <w:rFonts w:cs="B Zar"/>
                <w:rtl/>
              </w:rPr>
            </w:pPr>
            <w:r>
              <w:rPr>
                <w:rFonts w:cs="B Zar" w:hint="cs"/>
                <w:rtl/>
              </w:rPr>
              <w:t>30.000.000</w:t>
            </w:r>
          </w:p>
        </w:tc>
        <w:tc>
          <w:tcPr>
            <w:tcW w:w="2264" w:type="dxa"/>
            <w:vMerge w:val="restart"/>
            <w:vAlign w:val="center"/>
          </w:tcPr>
          <w:p w14:paraId="1AB95122" w14:textId="246F0D1E" w:rsidR="004823CC" w:rsidRPr="00BE1537" w:rsidRDefault="004823CC" w:rsidP="004823CC">
            <w:pPr>
              <w:jc w:val="center"/>
              <w:rPr>
                <w:rFonts w:cs="B Zar" w:hint="cs"/>
                <w:sz w:val="24"/>
                <w:szCs w:val="24"/>
                <w:rtl/>
              </w:rPr>
            </w:pPr>
            <w:r>
              <w:rPr>
                <w:rFonts w:cs="B Zar" w:hint="cs"/>
                <w:sz w:val="24"/>
                <w:szCs w:val="24"/>
                <w:rtl/>
              </w:rPr>
              <w:t>2 سال</w:t>
            </w:r>
          </w:p>
        </w:tc>
      </w:tr>
      <w:tr w:rsidR="004823CC" w:rsidRPr="00BE1537" w14:paraId="5A681350" w14:textId="526A53F3" w:rsidTr="004823CC">
        <w:trPr>
          <w:trHeight w:val="535"/>
          <w:jc w:val="center"/>
        </w:trPr>
        <w:tc>
          <w:tcPr>
            <w:tcW w:w="1539" w:type="dxa"/>
            <w:shd w:val="clear" w:color="auto" w:fill="BFBFBF" w:themeFill="background1" w:themeFillShade="BF"/>
            <w:vAlign w:val="center"/>
          </w:tcPr>
          <w:p w14:paraId="6EF4B771" w14:textId="77777777" w:rsidR="004823CC" w:rsidRPr="004823CC" w:rsidRDefault="004823CC" w:rsidP="002C7AD5">
            <w:pPr>
              <w:jc w:val="center"/>
              <w:rPr>
                <w:rFonts w:cs="B Zar"/>
                <w:rtl/>
              </w:rPr>
            </w:pPr>
            <w:r w:rsidRPr="004823CC">
              <w:rPr>
                <w:rFonts w:cs="B Zar" w:hint="cs"/>
                <w:rtl/>
              </w:rPr>
              <w:t>2</w:t>
            </w:r>
          </w:p>
        </w:tc>
        <w:tc>
          <w:tcPr>
            <w:tcW w:w="2785" w:type="dxa"/>
            <w:vAlign w:val="center"/>
          </w:tcPr>
          <w:p w14:paraId="3D2E4D1B" w14:textId="77777777" w:rsidR="004823CC" w:rsidRPr="004823CC" w:rsidRDefault="004823CC" w:rsidP="002C7AD5">
            <w:pPr>
              <w:jc w:val="center"/>
              <w:rPr>
                <w:rFonts w:cs="B Zar"/>
                <w:rtl/>
              </w:rPr>
            </w:pPr>
            <w:r w:rsidRPr="004823CC">
              <w:rPr>
                <w:rFonts w:cs="B Zar" w:hint="cs"/>
                <w:rtl/>
              </w:rPr>
              <w:t xml:space="preserve">تیبا </w:t>
            </w:r>
            <w:r w:rsidRPr="004823CC">
              <w:rPr>
                <w:rFonts w:ascii="Sakkal Majalla" w:hAnsi="Sakkal Majalla" w:cs="Sakkal Majalla" w:hint="cs"/>
                <w:rtl/>
              </w:rPr>
              <w:t>–</w:t>
            </w:r>
            <w:r w:rsidRPr="004823CC">
              <w:rPr>
                <w:rFonts w:cs="B Zar" w:hint="cs"/>
                <w:rtl/>
              </w:rPr>
              <w:t xml:space="preserve"> کوئیک </w:t>
            </w:r>
            <w:r w:rsidRPr="004823CC">
              <w:rPr>
                <w:rFonts w:ascii="Sakkal Majalla" w:hAnsi="Sakkal Majalla" w:cs="Sakkal Majalla" w:hint="cs"/>
                <w:rtl/>
              </w:rPr>
              <w:t>–</w:t>
            </w:r>
            <w:r w:rsidRPr="004823CC">
              <w:rPr>
                <w:rFonts w:cs="B Zar" w:hint="cs"/>
                <w:rtl/>
              </w:rPr>
              <w:t xml:space="preserve"> پراید </w:t>
            </w:r>
            <w:r w:rsidRPr="004823CC">
              <w:rPr>
                <w:rFonts w:ascii="Sakkal Majalla" w:hAnsi="Sakkal Majalla" w:cs="Sakkal Majalla" w:hint="cs"/>
                <w:rtl/>
              </w:rPr>
              <w:t>–</w:t>
            </w:r>
            <w:r w:rsidRPr="004823CC">
              <w:rPr>
                <w:rFonts w:cs="B Zar" w:hint="cs"/>
                <w:rtl/>
              </w:rPr>
              <w:t xml:space="preserve"> ساینا - ریو</w:t>
            </w:r>
          </w:p>
        </w:tc>
        <w:tc>
          <w:tcPr>
            <w:tcW w:w="1097" w:type="dxa"/>
            <w:vMerge/>
            <w:vAlign w:val="center"/>
          </w:tcPr>
          <w:p w14:paraId="3450E3BE" w14:textId="77777777" w:rsidR="004823CC" w:rsidRPr="004823CC" w:rsidRDefault="004823CC" w:rsidP="002C7AD5">
            <w:pPr>
              <w:jc w:val="center"/>
              <w:rPr>
                <w:rFonts w:cs="B Zar"/>
                <w:rtl/>
              </w:rPr>
            </w:pPr>
          </w:p>
        </w:tc>
        <w:tc>
          <w:tcPr>
            <w:tcW w:w="1275" w:type="dxa"/>
            <w:vMerge/>
            <w:vAlign w:val="center"/>
          </w:tcPr>
          <w:p w14:paraId="1E3DCF2F" w14:textId="77777777" w:rsidR="004823CC" w:rsidRPr="004823CC" w:rsidRDefault="004823CC" w:rsidP="002C7AD5">
            <w:pPr>
              <w:jc w:val="center"/>
              <w:rPr>
                <w:rFonts w:cs="B Zar"/>
                <w:rtl/>
              </w:rPr>
            </w:pPr>
          </w:p>
        </w:tc>
        <w:tc>
          <w:tcPr>
            <w:tcW w:w="1560" w:type="dxa"/>
            <w:vAlign w:val="center"/>
          </w:tcPr>
          <w:p w14:paraId="44420BC6" w14:textId="77777777" w:rsidR="004823CC" w:rsidRPr="004823CC" w:rsidRDefault="004823CC" w:rsidP="002C7AD5">
            <w:pPr>
              <w:jc w:val="center"/>
              <w:rPr>
                <w:rFonts w:cs="B Zar"/>
                <w:rtl/>
              </w:rPr>
            </w:pPr>
            <w:r w:rsidRPr="004823CC">
              <w:rPr>
                <w:rFonts w:cs="B Zar" w:hint="cs"/>
                <w:rtl/>
              </w:rPr>
              <w:t>2.131.030</w:t>
            </w:r>
          </w:p>
        </w:tc>
        <w:tc>
          <w:tcPr>
            <w:tcW w:w="2264" w:type="dxa"/>
            <w:vMerge/>
            <w:vAlign w:val="center"/>
          </w:tcPr>
          <w:p w14:paraId="34CA92A2" w14:textId="230AFF42" w:rsidR="004823CC" w:rsidRPr="004823CC" w:rsidRDefault="004823CC" w:rsidP="002C7AD5">
            <w:pPr>
              <w:jc w:val="center"/>
              <w:rPr>
                <w:rFonts w:cs="B Zar"/>
                <w:rtl/>
              </w:rPr>
            </w:pPr>
          </w:p>
        </w:tc>
        <w:tc>
          <w:tcPr>
            <w:tcW w:w="2264" w:type="dxa"/>
            <w:vMerge/>
            <w:vAlign w:val="center"/>
          </w:tcPr>
          <w:p w14:paraId="54237FDF" w14:textId="77777777" w:rsidR="004823CC" w:rsidRPr="00BE1537" w:rsidRDefault="004823CC" w:rsidP="004823CC">
            <w:pPr>
              <w:jc w:val="center"/>
              <w:rPr>
                <w:rFonts w:cs="B Zar" w:hint="cs"/>
                <w:sz w:val="24"/>
                <w:szCs w:val="24"/>
                <w:rtl/>
              </w:rPr>
            </w:pPr>
          </w:p>
        </w:tc>
      </w:tr>
      <w:tr w:rsidR="004823CC" w:rsidRPr="00BE1537" w14:paraId="46303505" w14:textId="70ED6BBF" w:rsidTr="004823CC">
        <w:trPr>
          <w:trHeight w:val="556"/>
          <w:jc w:val="center"/>
        </w:trPr>
        <w:tc>
          <w:tcPr>
            <w:tcW w:w="1539" w:type="dxa"/>
            <w:shd w:val="clear" w:color="auto" w:fill="BFBFBF" w:themeFill="background1" w:themeFillShade="BF"/>
            <w:vAlign w:val="center"/>
          </w:tcPr>
          <w:p w14:paraId="65B9C252" w14:textId="77777777" w:rsidR="004823CC" w:rsidRPr="004823CC" w:rsidRDefault="004823CC" w:rsidP="002C7AD5">
            <w:pPr>
              <w:jc w:val="center"/>
              <w:rPr>
                <w:rFonts w:cs="B Zar"/>
                <w:rtl/>
              </w:rPr>
            </w:pPr>
            <w:r w:rsidRPr="004823CC">
              <w:rPr>
                <w:rFonts w:cs="B Zar" w:hint="cs"/>
                <w:rtl/>
              </w:rPr>
              <w:t>3</w:t>
            </w:r>
          </w:p>
        </w:tc>
        <w:tc>
          <w:tcPr>
            <w:tcW w:w="2785" w:type="dxa"/>
            <w:vAlign w:val="center"/>
          </w:tcPr>
          <w:p w14:paraId="2260B0F6" w14:textId="77777777" w:rsidR="004823CC" w:rsidRPr="004823CC" w:rsidRDefault="004823CC" w:rsidP="002C7AD5">
            <w:pPr>
              <w:jc w:val="center"/>
              <w:rPr>
                <w:rFonts w:cs="B Zar"/>
                <w:rtl/>
              </w:rPr>
            </w:pPr>
            <w:r w:rsidRPr="004823CC">
              <w:rPr>
                <w:rFonts w:cs="B Zar" w:hint="cs"/>
                <w:rtl/>
              </w:rPr>
              <w:t>وانت مزدا  (دوکابین)</w:t>
            </w:r>
          </w:p>
        </w:tc>
        <w:tc>
          <w:tcPr>
            <w:tcW w:w="1097" w:type="dxa"/>
            <w:vAlign w:val="center"/>
          </w:tcPr>
          <w:p w14:paraId="727199CB" w14:textId="77777777" w:rsidR="004823CC" w:rsidRPr="004823CC" w:rsidRDefault="004823CC" w:rsidP="002C7AD5">
            <w:pPr>
              <w:jc w:val="center"/>
              <w:rPr>
                <w:rFonts w:cs="B Zar"/>
                <w:rtl/>
              </w:rPr>
            </w:pPr>
            <w:r w:rsidRPr="004823CC">
              <w:rPr>
                <w:rFonts w:cs="B Zar" w:hint="cs"/>
                <w:rtl/>
              </w:rPr>
              <w:t>16 دستگاه</w:t>
            </w:r>
          </w:p>
        </w:tc>
        <w:tc>
          <w:tcPr>
            <w:tcW w:w="1275" w:type="dxa"/>
            <w:vAlign w:val="center"/>
          </w:tcPr>
          <w:p w14:paraId="0B25E514" w14:textId="77777777" w:rsidR="004823CC" w:rsidRPr="004823CC" w:rsidRDefault="004823CC" w:rsidP="002C7AD5">
            <w:pPr>
              <w:jc w:val="center"/>
              <w:rPr>
                <w:rFonts w:cs="B Zar"/>
                <w:rtl/>
              </w:rPr>
            </w:pPr>
            <w:r w:rsidRPr="004823CC">
              <w:rPr>
                <w:rFonts w:cs="B Zar" w:hint="cs"/>
                <w:rtl/>
              </w:rPr>
              <w:t>1391 شمسی</w:t>
            </w:r>
          </w:p>
          <w:p w14:paraId="47D1EC22" w14:textId="77777777" w:rsidR="004823CC" w:rsidRPr="004823CC" w:rsidRDefault="004823CC" w:rsidP="002C7AD5">
            <w:pPr>
              <w:jc w:val="center"/>
              <w:rPr>
                <w:rFonts w:cs="B Zar"/>
                <w:rtl/>
              </w:rPr>
            </w:pPr>
            <w:r w:rsidRPr="004823CC">
              <w:rPr>
                <w:rFonts w:cs="B Zar" w:hint="cs"/>
                <w:rtl/>
              </w:rPr>
              <w:t xml:space="preserve"> و بالاتر </w:t>
            </w:r>
          </w:p>
        </w:tc>
        <w:tc>
          <w:tcPr>
            <w:tcW w:w="1560" w:type="dxa"/>
            <w:vAlign w:val="center"/>
          </w:tcPr>
          <w:p w14:paraId="5B5CB336" w14:textId="77777777" w:rsidR="004823CC" w:rsidRPr="004823CC" w:rsidRDefault="004823CC" w:rsidP="002C7AD5">
            <w:pPr>
              <w:jc w:val="center"/>
              <w:rPr>
                <w:rFonts w:cs="B Zar"/>
                <w:rtl/>
              </w:rPr>
            </w:pPr>
            <w:r w:rsidRPr="004823CC">
              <w:rPr>
                <w:rFonts w:cs="B Zar" w:hint="cs"/>
                <w:rtl/>
              </w:rPr>
              <w:t>2.445.450</w:t>
            </w:r>
          </w:p>
        </w:tc>
        <w:tc>
          <w:tcPr>
            <w:tcW w:w="2264" w:type="dxa"/>
            <w:vMerge/>
            <w:vAlign w:val="center"/>
          </w:tcPr>
          <w:p w14:paraId="0E53F6D0" w14:textId="77EF57D2" w:rsidR="004823CC" w:rsidRPr="004823CC" w:rsidRDefault="004823CC" w:rsidP="002C7AD5">
            <w:pPr>
              <w:jc w:val="center"/>
              <w:rPr>
                <w:rFonts w:cs="B Zar"/>
                <w:rtl/>
              </w:rPr>
            </w:pPr>
          </w:p>
        </w:tc>
        <w:tc>
          <w:tcPr>
            <w:tcW w:w="2264" w:type="dxa"/>
            <w:vMerge/>
            <w:vAlign w:val="center"/>
          </w:tcPr>
          <w:p w14:paraId="5F4B6124" w14:textId="77777777" w:rsidR="004823CC" w:rsidRPr="00BE1537" w:rsidRDefault="004823CC" w:rsidP="004823CC">
            <w:pPr>
              <w:jc w:val="center"/>
              <w:rPr>
                <w:rFonts w:cs="B Zar" w:hint="cs"/>
                <w:sz w:val="24"/>
                <w:szCs w:val="24"/>
                <w:rtl/>
              </w:rPr>
            </w:pPr>
          </w:p>
        </w:tc>
      </w:tr>
      <w:tr w:rsidR="004823CC" w:rsidRPr="00BE1537" w14:paraId="05878B6D" w14:textId="69DA8B80" w:rsidTr="004823CC">
        <w:trPr>
          <w:trHeight w:val="550"/>
          <w:jc w:val="center"/>
        </w:trPr>
        <w:tc>
          <w:tcPr>
            <w:tcW w:w="1539" w:type="dxa"/>
            <w:shd w:val="clear" w:color="auto" w:fill="BFBFBF" w:themeFill="background1" w:themeFillShade="BF"/>
            <w:vAlign w:val="center"/>
          </w:tcPr>
          <w:p w14:paraId="426EE825" w14:textId="77777777" w:rsidR="004823CC" w:rsidRPr="004823CC" w:rsidRDefault="004823CC" w:rsidP="002C7AD5">
            <w:pPr>
              <w:jc w:val="center"/>
              <w:rPr>
                <w:rFonts w:cs="B Zar"/>
                <w:rtl/>
              </w:rPr>
            </w:pPr>
            <w:r w:rsidRPr="004823CC">
              <w:rPr>
                <w:rFonts w:cs="B Zar" w:hint="cs"/>
                <w:rtl/>
              </w:rPr>
              <w:t>4</w:t>
            </w:r>
          </w:p>
        </w:tc>
        <w:tc>
          <w:tcPr>
            <w:tcW w:w="2785" w:type="dxa"/>
            <w:vAlign w:val="center"/>
          </w:tcPr>
          <w:p w14:paraId="33CC996D" w14:textId="77777777" w:rsidR="004823CC" w:rsidRPr="004823CC" w:rsidRDefault="004823CC" w:rsidP="002C7AD5">
            <w:pPr>
              <w:jc w:val="center"/>
              <w:rPr>
                <w:rFonts w:cs="B Zar"/>
                <w:rtl/>
              </w:rPr>
            </w:pPr>
            <w:r w:rsidRPr="004823CC">
              <w:rPr>
                <w:rFonts w:cs="B Zar" w:hint="cs"/>
                <w:rtl/>
              </w:rPr>
              <w:t>وانت نیسان</w:t>
            </w:r>
          </w:p>
        </w:tc>
        <w:tc>
          <w:tcPr>
            <w:tcW w:w="1097" w:type="dxa"/>
            <w:vAlign w:val="center"/>
          </w:tcPr>
          <w:p w14:paraId="4B26B719" w14:textId="77777777" w:rsidR="004823CC" w:rsidRPr="004823CC" w:rsidRDefault="004823CC" w:rsidP="002C7AD5">
            <w:pPr>
              <w:jc w:val="center"/>
              <w:rPr>
                <w:rFonts w:cs="B Zar"/>
                <w:rtl/>
              </w:rPr>
            </w:pPr>
            <w:r w:rsidRPr="004823CC">
              <w:rPr>
                <w:rFonts w:cs="B Zar" w:hint="cs"/>
                <w:rtl/>
              </w:rPr>
              <w:t>7 دستگاه</w:t>
            </w:r>
          </w:p>
        </w:tc>
        <w:tc>
          <w:tcPr>
            <w:tcW w:w="1275" w:type="dxa"/>
            <w:vAlign w:val="center"/>
          </w:tcPr>
          <w:p w14:paraId="274B2562" w14:textId="77777777" w:rsidR="004823CC" w:rsidRPr="004823CC" w:rsidRDefault="004823CC" w:rsidP="002C7AD5">
            <w:pPr>
              <w:jc w:val="center"/>
              <w:rPr>
                <w:rFonts w:cs="B Zar"/>
                <w:rtl/>
              </w:rPr>
            </w:pPr>
            <w:r w:rsidRPr="004823CC">
              <w:rPr>
                <w:rFonts w:cs="B Zar" w:hint="cs"/>
                <w:rtl/>
              </w:rPr>
              <w:t>1391 شمسی</w:t>
            </w:r>
          </w:p>
          <w:p w14:paraId="08E5D847" w14:textId="77777777" w:rsidR="004823CC" w:rsidRPr="004823CC" w:rsidRDefault="004823CC" w:rsidP="002C7AD5">
            <w:pPr>
              <w:jc w:val="center"/>
              <w:rPr>
                <w:rFonts w:cs="B Zar"/>
                <w:rtl/>
              </w:rPr>
            </w:pPr>
            <w:r w:rsidRPr="004823CC">
              <w:rPr>
                <w:rFonts w:cs="B Zar" w:hint="cs"/>
                <w:rtl/>
              </w:rPr>
              <w:t xml:space="preserve"> و بالاتر </w:t>
            </w:r>
          </w:p>
        </w:tc>
        <w:tc>
          <w:tcPr>
            <w:tcW w:w="1560" w:type="dxa"/>
            <w:vAlign w:val="center"/>
          </w:tcPr>
          <w:p w14:paraId="74A6CDB1" w14:textId="77777777" w:rsidR="004823CC" w:rsidRPr="004823CC" w:rsidRDefault="004823CC" w:rsidP="002C7AD5">
            <w:pPr>
              <w:jc w:val="center"/>
              <w:rPr>
                <w:rFonts w:cs="B Zar"/>
                <w:rtl/>
              </w:rPr>
            </w:pPr>
            <w:r w:rsidRPr="004823CC">
              <w:rPr>
                <w:rFonts w:cs="B Zar" w:hint="cs"/>
                <w:rtl/>
              </w:rPr>
              <w:t>2.445.450</w:t>
            </w:r>
          </w:p>
        </w:tc>
        <w:tc>
          <w:tcPr>
            <w:tcW w:w="2264" w:type="dxa"/>
            <w:vMerge/>
            <w:vAlign w:val="center"/>
          </w:tcPr>
          <w:p w14:paraId="3E2DFE74" w14:textId="3409131E" w:rsidR="004823CC" w:rsidRPr="004823CC" w:rsidRDefault="004823CC" w:rsidP="002C7AD5">
            <w:pPr>
              <w:jc w:val="center"/>
              <w:rPr>
                <w:rFonts w:cs="B Zar"/>
                <w:rtl/>
              </w:rPr>
            </w:pPr>
          </w:p>
        </w:tc>
        <w:tc>
          <w:tcPr>
            <w:tcW w:w="2264" w:type="dxa"/>
            <w:vMerge/>
            <w:vAlign w:val="center"/>
          </w:tcPr>
          <w:p w14:paraId="00269D26" w14:textId="77777777" w:rsidR="004823CC" w:rsidRPr="00BE1537" w:rsidRDefault="004823CC" w:rsidP="004823CC">
            <w:pPr>
              <w:jc w:val="center"/>
              <w:rPr>
                <w:rFonts w:cs="B Zar" w:hint="cs"/>
                <w:sz w:val="24"/>
                <w:szCs w:val="24"/>
                <w:rtl/>
              </w:rPr>
            </w:pPr>
          </w:p>
        </w:tc>
      </w:tr>
      <w:tr w:rsidR="004823CC" w:rsidRPr="00BE1537" w14:paraId="50EB65F5" w14:textId="646760A4" w:rsidTr="004823CC">
        <w:trPr>
          <w:trHeight w:val="558"/>
          <w:jc w:val="center"/>
        </w:trPr>
        <w:tc>
          <w:tcPr>
            <w:tcW w:w="1539" w:type="dxa"/>
            <w:shd w:val="clear" w:color="auto" w:fill="BFBFBF" w:themeFill="background1" w:themeFillShade="BF"/>
            <w:vAlign w:val="center"/>
          </w:tcPr>
          <w:p w14:paraId="3BFC7B90" w14:textId="77777777" w:rsidR="004823CC" w:rsidRPr="004823CC" w:rsidRDefault="004823CC" w:rsidP="002C7AD5">
            <w:pPr>
              <w:jc w:val="center"/>
              <w:rPr>
                <w:rFonts w:cs="B Zar"/>
                <w:rtl/>
              </w:rPr>
            </w:pPr>
            <w:r w:rsidRPr="004823CC">
              <w:rPr>
                <w:rFonts w:cs="B Zar" w:hint="cs"/>
                <w:rtl/>
              </w:rPr>
              <w:t>5</w:t>
            </w:r>
          </w:p>
        </w:tc>
        <w:tc>
          <w:tcPr>
            <w:tcW w:w="2785" w:type="dxa"/>
            <w:vAlign w:val="center"/>
          </w:tcPr>
          <w:p w14:paraId="601D082C" w14:textId="77777777" w:rsidR="004823CC" w:rsidRPr="004823CC" w:rsidRDefault="004823CC" w:rsidP="002C7AD5">
            <w:pPr>
              <w:jc w:val="center"/>
              <w:rPr>
                <w:rFonts w:cs="B Zar"/>
                <w:rtl/>
              </w:rPr>
            </w:pPr>
            <w:r w:rsidRPr="004823CC">
              <w:rPr>
                <w:rFonts w:cs="B Zar" w:hint="cs"/>
                <w:rtl/>
              </w:rPr>
              <w:t>وانت نیسان (کمپرسی)</w:t>
            </w:r>
          </w:p>
        </w:tc>
        <w:tc>
          <w:tcPr>
            <w:tcW w:w="1097" w:type="dxa"/>
            <w:vAlign w:val="center"/>
          </w:tcPr>
          <w:p w14:paraId="54CF570D" w14:textId="77777777" w:rsidR="004823CC" w:rsidRPr="004823CC" w:rsidRDefault="004823CC" w:rsidP="002C7AD5">
            <w:pPr>
              <w:jc w:val="center"/>
              <w:rPr>
                <w:rFonts w:cs="B Zar"/>
                <w:rtl/>
              </w:rPr>
            </w:pPr>
            <w:r w:rsidRPr="004823CC">
              <w:rPr>
                <w:rFonts w:cs="B Zar" w:hint="cs"/>
                <w:rtl/>
              </w:rPr>
              <w:t>2 دستگاه</w:t>
            </w:r>
          </w:p>
        </w:tc>
        <w:tc>
          <w:tcPr>
            <w:tcW w:w="1275" w:type="dxa"/>
            <w:vAlign w:val="center"/>
          </w:tcPr>
          <w:p w14:paraId="314B6A1C" w14:textId="77777777" w:rsidR="004823CC" w:rsidRPr="004823CC" w:rsidRDefault="004823CC" w:rsidP="002C7AD5">
            <w:pPr>
              <w:jc w:val="center"/>
              <w:rPr>
                <w:rFonts w:cs="B Zar"/>
                <w:rtl/>
              </w:rPr>
            </w:pPr>
            <w:r w:rsidRPr="004823CC">
              <w:rPr>
                <w:rFonts w:cs="B Zar" w:hint="cs"/>
                <w:rtl/>
              </w:rPr>
              <w:t>1391 شمسی</w:t>
            </w:r>
          </w:p>
          <w:p w14:paraId="35328C97" w14:textId="77777777" w:rsidR="004823CC" w:rsidRPr="004823CC" w:rsidRDefault="004823CC" w:rsidP="002C7AD5">
            <w:pPr>
              <w:jc w:val="center"/>
              <w:rPr>
                <w:rFonts w:cs="B Zar"/>
                <w:rtl/>
              </w:rPr>
            </w:pPr>
            <w:r w:rsidRPr="004823CC">
              <w:rPr>
                <w:rFonts w:cs="B Zar" w:hint="cs"/>
                <w:rtl/>
              </w:rPr>
              <w:t xml:space="preserve"> و بالاتر </w:t>
            </w:r>
          </w:p>
        </w:tc>
        <w:tc>
          <w:tcPr>
            <w:tcW w:w="1560" w:type="dxa"/>
            <w:vAlign w:val="center"/>
          </w:tcPr>
          <w:p w14:paraId="6F483D37" w14:textId="77777777" w:rsidR="004823CC" w:rsidRPr="004823CC" w:rsidRDefault="004823CC" w:rsidP="002C7AD5">
            <w:pPr>
              <w:jc w:val="center"/>
              <w:rPr>
                <w:rFonts w:cs="B Zar"/>
                <w:rtl/>
              </w:rPr>
            </w:pPr>
            <w:r w:rsidRPr="004823CC">
              <w:rPr>
                <w:rFonts w:cs="B Zar" w:hint="cs"/>
                <w:rtl/>
              </w:rPr>
              <w:t>2.305.710</w:t>
            </w:r>
          </w:p>
        </w:tc>
        <w:tc>
          <w:tcPr>
            <w:tcW w:w="2264" w:type="dxa"/>
            <w:vMerge/>
            <w:vAlign w:val="center"/>
          </w:tcPr>
          <w:p w14:paraId="4161684F" w14:textId="5B2F3B3E" w:rsidR="004823CC" w:rsidRPr="004823CC" w:rsidRDefault="004823CC" w:rsidP="002C7AD5">
            <w:pPr>
              <w:jc w:val="center"/>
              <w:rPr>
                <w:rFonts w:cs="B Zar"/>
                <w:rtl/>
              </w:rPr>
            </w:pPr>
          </w:p>
        </w:tc>
        <w:tc>
          <w:tcPr>
            <w:tcW w:w="2264" w:type="dxa"/>
            <w:vMerge/>
            <w:vAlign w:val="center"/>
          </w:tcPr>
          <w:p w14:paraId="6CF3695D" w14:textId="77777777" w:rsidR="004823CC" w:rsidRPr="00E841AB" w:rsidRDefault="004823CC" w:rsidP="004823CC">
            <w:pPr>
              <w:jc w:val="center"/>
              <w:rPr>
                <w:rFonts w:cs="B Zar" w:hint="cs"/>
                <w:sz w:val="24"/>
                <w:szCs w:val="24"/>
                <w:rtl/>
              </w:rPr>
            </w:pPr>
          </w:p>
        </w:tc>
      </w:tr>
      <w:tr w:rsidR="004823CC" w:rsidRPr="00BE1537" w14:paraId="344FD167" w14:textId="511E11B1" w:rsidTr="004823CC">
        <w:trPr>
          <w:trHeight w:val="566"/>
          <w:jc w:val="center"/>
        </w:trPr>
        <w:tc>
          <w:tcPr>
            <w:tcW w:w="1539" w:type="dxa"/>
            <w:shd w:val="clear" w:color="auto" w:fill="BFBFBF" w:themeFill="background1" w:themeFillShade="BF"/>
            <w:vAlign w:val="center"/>
          </w:tcPr>
          <w:p w14:paraId="71B337E0" w14:textId="77777777" w:rsidR="004823CC" w:rsidRPr="004823CC" w:rsidRDefault="004823CC" w:rsidP="002C7AD5">
            <w:pPr>
              <w:jc w:val="center"/>
              <w:rPr>
                <w:rFonts w:cs="B Zar"/>
                <w:rtl/>
              </w:rPr>
            </w:pPr>
            <w:r w:rsidRPr="004823CC">
              <w:rPr>
                <w:rFonts w:cs="B Zar" w:hint="cs"/>
                <w:rtl/>
              </w:rPr>
              <w:t>6</w:t>
            </w:r>
          </w:p>
        </w:tc>
        <w:tc>
          <w:tcPr>
            <w:tcW w:w="2785" w:type="dxa"/>
            <w:vAlign w:val="center"/>
          </w:tcPr>
          <w:p w14:paraId="03737E58" w14:textId="77777777" w:rsidR="004823CC" w:rsidRPr="004823CC" w:rsidRDefault="004823CC" w:rsidP="002C7AD5">
            <w:pPr>
              <w:jc w:val="center"/>
              <w:rPr>
                <w:rFonts w:cs="B Zar"/>
                <w:rtl/>
              </w:rPr>
            </w:pPr>
            <w:r w:rsidRPr="004823CC">
              <w:rPr>
                <w:rFonts w:cs="B Zar" w:hint="cs"/>
                <w:rtl/>
              </w:rPr>
              <w:t>وانت پیکان</w:t>
            </w:r>
          </w:p>
        </w:tc>
        <w:tc>
          <w:tcPr>
            <w:tcW w:w="1097" w:type="dxa"/>
            <w:vAlign w:val="center"/>
          </w:tcPr>
          <w:p w14:paraId="00C2B417" w14:textId="77777777" w:rsidR="004823CC" w:rsidRPr="004823CC" w:rsidRDefault="004823CC" w:rsidP="002C7AD5">
            <w:pPr>
              <w:jc w:val="center"/>
              <w:rPr>
                <w:rFonts w:cs="B Zar"/>
                <w:rtl/>
              </w:rPr>
            </w:pPr>
            <w:r w:rsidRPr="004823CC">
              <w:rPr>
                <w:rFonts w:cs="B Zar" w:hint="cs"/>
                <w:rtl/>
              </w:rPr>
              <w:t>7 دستگاه</w:t>
            </w:r>
          </w:p>
        </w:tc>
        <w:tc>
          <w:tcPr>
            <w:tcW w:w="1275" w:type="dxa"/>
            <w:vAlign w:val="center"/>
          </w:tcPr>
          <w:p w14:paraId="488379B9" w14:textId="77777777" w:rsidR="004823CC" w:rsidRPr="004823CC" w:rsidRDefault="004823CC" w:rsidP="002C7AD5">
            <w:pPr>
              <w:jc w:val="center"/>
              <w:rPr>
                <w:rFonts w:cs="B Zar"/>
                <w:rtl/>
              </w:rPr>
            </w:pPr>
            <w:r w:rsidRPr="004823CC">
              <w:rPr>
                <w:rFonts w:cs="B Zar" w:hint="cs"/>
                <w:rtl/>
              </w:rPr>
              <w:t>1391 شمسی</w:t>
            </w:r>
          </w:p>
          <w:p w14:paraId="76E17DDB" w14:textId="77777777" w:rsidR="004823CC" w:rsidRPr="004823CC" w:rsidRDefault="004823CC" w:rsidP="002C7AD5">
            <w:pPr>
              <w:jc w:val="center"/>
              <w:rPr>
                <w:rFonts w:cs="B Zar"/>
                <w:rtl/>
              </w:rPr>
            </w:pPr>
            <w:r w:rsidRPr="004823CC">
              <w:rPr>
                <w:rFonts w:cs="B Zar" w:hint="cs"/>
                <w:rtl/>
              </w:rPr>
              <w:t xml:space="preserve"> و بالاتر </w:t>
            </w:r>
          </w:p>
        </w:tc>
        <w:tc>
          <w:tcPr>
            <w:tcW w:w="1560" w:type="dxa"/>
            <w:vAlign w:val="center"/>
          </w:tcPr>
          <w:p w14:paraId="43A62315" w14:textId="77777777" w:rsidR="004823CC" w:rsidRPr="004823CC" w:rsidRDefault="004823CC" w:rsidP="002C7AD5">
            <w:pPr>
              <w:jc w:val="center"/>
              <w:rPr>
                <w:rFonts w:cs="B Zar"/>
                <w:rtl/>
              </w:rPr>
            </w:pPr>
            <w:r w:rsidRPr="004823CC">
              <w:rPr>
                <w:rFonts w:cs="B Zar" w:hint="cs"/>
                <w:rtl/>
              </w:rPr>
              <w:t>2.131.030</w:t>
            </w:r>
          </w:p>
        </w:tc>
        <w:tc>
          <w:tcPr>
            <w:tcW w:w="2264" w:type="dxa"/>
            <w:vMerge/>
            <w:vAlign w:val="center"/>
          </w:tcPr>
          <w:p w14:paraId="579CC574" w14:textId="3E008F18" w:rsidR="004823CC" w:rsidRPr="004823CC" w:rsidRDefault="004823CC" w:rsidP="002C7AD5">
            <w:pPr>
              <w:jc w:val="center"/>
              <w:rPr>
                <w:rFonts w:cs="B Zar"/>
                <w:rtl/>
              </w:rPr>
            </w:pPr>
          </w:p>
        </w:tc>
        <w:tc>
          <w:tcPr>
            <w:tcW w:w="2264" w:type="dxa"/>
            <w:vMerge/>
            <w:vAlign w:val="center"/>
          </w:tcPr>
          <w:p w14:paraId="0999855A" w14:textId="77777777" w:rsidR="004823CC" w:rsidRPr="00BE1537" w:rsidRDefault="004823CC" w:rsidP="004823CC">
            <w:pPr>
              <w:jc w:val="center"/>
              <w:rPr>
                <w:rFonts w:cs="B Zar" w:hint="cs"/>
                <w:sz w:val="24"/>
                <w:szCs w:val="24"/>
                <w:rtl/>
              </w:rPr>
            </w:pPr>
          </w:p>
        </w:tc>
      </w:tr>
      <w:tr w:rsidR="004823CC" w:rsidRPr="00BE1537" w14:paraId="6EDA6C6D" w14:textId="619D7D33" w:rsidTr="00CA7BBB">
        <w:trPr>
          <w:trHeight w:val="566"/>
          <w:jc w:val="center"/>
        </w:trPr>
        <w:tc>
          <w:tcPr>
            <w:tcW w:w="1539" w:type="dxa"/>
            <w:shd w:val="clear" w:color="auto" w:fill="BFBFBF" w:themeFill="background1" w:themeFillShade="BF"/>
            <w:vAlign w:val="center"/>
          </w:tcPr>
          <w:p w14:paraId="75212339" w14:textId="76D0114A" w:rsidR="00CA7BBB" w:rsidRPr="00CA7BBB" w:rsidRDefault="004823CC" w:rsidP="00CA7BBB">
            <w:pPr>
              <w:jc w:val="center"/>
              <w:rPr>
                <w:rFonts w:cs="B Zar"/>
                <w:sz w:val="24"/>
                <w:szCs w:val="24"/>
                <w:rtl/>
              </w:rPr>
            </w:pPr>
            <w:r w:rsidRPr="00BE1537">
              <w:rPr>
                <w:rFonts w:cs="B Zar" w:hint="cs"/>
                <w:sz w:val="24"/>
                <w:szCs w:val="24"/>
                <w:rtl/>
              </w:rPr>
              <w:t>توضیحات</w:t>
            </w:r>
          </w:p>
        </w:tc>
        <w:tc>
          <w:tcPr>
            <w:tcW w:w="11245" w:type="dxa"/>
            <w:gridSpan w:val="6"/>
            <w:vAlign w:val="center"/>
          </w:tcPr>
          <w:p w14:paraId="72782836" w14:textId="77777777" w:rsidR="004823CC" w:rsidRPr="004823CC" w:rsidRDefault="004823CC" w:rsidP="00DC778D">
            <w:pPr>
              <w:pStyle w:val="ListParagraph"/>
              <w:numPr>
                <w:ilvl w:val="0"/>
                <w:numId w:val="3"/>
              </w:numPr>
              <w:ind w:left="363"/>
              <w:jc w:val="both"/>
              <w:rPr>
                <w:rFonts w:cs="B Zar"/>
                <w:sz w:val="24"/>
                <w:szCs w:val="24"/>
              </w:rPr>
            </w:pPr>
            <w:r w:rsidRPr="004823CC">
              <w:rPr>
                <w:rFonts w:cs="B Zar" w:hint="cs"/>
                <w:sz w:val="24"/>
                <w:szCs w:val="24"/>
                <w:rtl/>
              </w:rPr>
              <w:t>در روزهای تعطیل رسمی و شب کاری (شب کاری از ساعت 23 الی 5 محاسبه می گردد) 20 درصد به مبلغ حرکت و توقف اضافه می شود.</w:t>
            </w:r>
          </w:p>
          <w:p w14:paraId="06AB963C" w14:textId="75ADAFAC" w:rsidR="004823CC" w:rsidRPr="004823CC" w:rsidRDefault="004823CC" w:rsidP="00DC778D">
            <w:pPr>
              <w:pStyle w:val="ListParagraph"/>
              <w:numPr>
                <w:ilvl w:val="0"/>
                <w:numId w:val="3"/>
              </w:numPr>
              <w:ind w:left="363"/>
              <w:jc w:val="both"/>
              <w:rPr>
                <w:rFonts w:cs="B Zar"/>
                <w:sz w:val="24"/>
                <w:szCs w:val="24"/>
                <w:rtl/>
              </w:rPr>
            </w:pPr>
            <w:r w:rsidRPr="004823CC">
              <w:rPr>
                <w:rFonts w:cs="B Zar" w:hint="cs"/>
                <w:sz w:val="24"/>
                <w:szCs w:val="24"/>
                <w:rtl/>
              </w:rPr>
              <w:t>در صورتی که کارکرد خودرو کمتر از 196 ساعت در ماه باشد، حداقل دریافتی به تناسب ساعت کارکرد محاسبه می گردد.</w:t>
            </w:r>
          </w:p>
          <w:p w14:paraId="7FAF1D96" w14:textId="77777777" w:rsidR="004823CC" w:rsidRPr="004823CC" w:rsidRDefault="004823CC" w:rsidP="00DC778D">
            <w:pPr>
              <w:pStyle w:val="ListParagraph"/>
              <w:numPr>
                <w:ilvl w:val="0"/>
                <w:numId w:val="3"/>
              </w:numPr>
              <w:ind w:left="363"/>
              <w:jc w:val="both"/>
              <w:rPr>
                <w:rFonts w:cs="B Zar"/>
                <w:sz w:val="24"/>
                <w:szCs w:val="24"/>
                <w:rtl/>
              </w:rPr>
            </w:pPr>
            <w:r w:rsidRPr="004823CC">
              <w:rPr>
                <w:rFonts w:cs="B Zar"/>
                <w:sz w:val="24"/>
                <w:szCs w:val="24"/>
                <w:rtl/>
              </w:rPr>
              <w:t xml:space="preserve">به ازای هر کیلومتر مأموریت خارج از شعاع 20 کیلومتری نیشابور، مبلغ </w:t>
            </w:r>
            <w:r w:rsidRPr="004823CC">
              <w:rPr>
                <w:rFonts w:cs="B Zar" w:hint="cs"/>
                <w:sz w:val="24"/>
                <w:szCs w:val="24"/>
                <w:rtl/>
              </w:rPr>
              <w:t xml:space="preserve">30.260 </w:t>
            </w:r>
            <w:r w:rsidRPr="004823CC">
              <w:rPr>
                <w:rFonts w:cs="B Zar"/>
                <w:sz w:val="24"/>
                <w:szCs w:val="24"/>
                <w:rtl/>
              </w:rPr>
              <w:t xml:space="preserve">ریال برای کل مسافت </w:t>
            </w:r>
            <w:r w:rsidRPr="004823CC">
              <w:rPr>
                <w:rFonts w:cs="B Zar" w:hint="cs"/>
                <w:sz w:val="24"/>
                <w:szCs w:val="24"/>
                <w:rtl/>
              </w:rPr>
              <w:t>طی شده</w:t>
            </w:r>
            <w:r w:rsidRPr="004823CC">
              <w:rPr>
                <w:rFonts w:cs="B Zar"/>
                <w:sz w:val="24"/>
                <w:szCs w:val="24"/>
                <w:rtl/>
              </w:rPr>
              <w:t xml:space="preserve"> به عنوان حق مأموریت </w:t>
            </w:r>
            <w:r w:rsidRPr="004823CC">
              <w:rPr>
                <w:rFonts w:cs="B Zar" w:hint="cs"/>
                <w:sz w:val="24"/>
                <w:szCs w:val="24"/>
                <w:rtl/>
              </w:rPr>
              <w:t>محاسبه</w:t>
            </w:r>
            <w:r w:rsidRPr="004823CC">
              <w:rPr>
                <w:rFonts w:cs="B Zar"/>
                <w:sz w:val="24"/>
                <w:szCs w:val="24"/>
                <w:rtl/>
              </w:rPr>
              <w:t xml:space="preserve"> می‌شود</w:t>
            </w:r>
            <w:r w:rsidRPr="004823CC">
              <w:rPr>
                <w:rFonts w:cs="B Zar" w:hint="cs"/>
                <w:sz w:val="24"/>
                <w:szCs w:val="24"/>
                <w:rtl/>
              </w:rPr>
              <w:t>. حق ماموریت فقط برای مسافت طی شده خارج از شعاع 20 کیلومتری نیشابور تا شهر مقصد پرداخت خواهد شد و مشمول مسافت طی شده در شهر مقصد نمی باشد.</w:t>
            </w:r>
          </w:p>
          <w:p w14:paraId="7C0F009E" w14:textId="77777777" w:rsidR="004823CC" w:rsidRPr="004823CC" w:rsidRDefault="004823CC" w:rsidP="00DC778D">
            <w:pPr>
              <w:pStyle w:val="ListParagraph"/>
              <w:numPr>
                <w:ilvl w:val="0"/>
                <w:numId w:val="3"/>
              </w:numPr>
              <w:ind w:left="363"/>
              <w:jc w:val="both"/>
              <w:rPr>
                <w:rFonts w:cs="B Zar"/>
                <w:sz w:val="24"/>
                <w:szCs w:val="24"/>
                <w:rtl/>
              </w:rPr>
            </w:pPr>
            <w:r w:rsidRPr="004823CC">
              <w:rPr>
                <w:rFonts w:cs="B Zar" w:hint="cs"/>
                <w:sz w:val="24"/>
                <w:szCs w:val="24"/>
                <w:rtl/>
              </w:rPr>
              <w:t>مبلغ محاسبه شده به ازای هر ساعت توقف برای کلیه خودروها (به غیر از نیسان کمپرسی)یک چهارم مبلغ هر ساعت حرکت خودرو محاسبه می گردد.</w:t>
            </w:r>
          </w:p>
          <w:p w14:paraId="6697BAC9" w14:textId="77777777" w:rsidR="004823CC" w:rsidRPr="004823CC" w:rsidRDefault="004823CC" w:rsidP="00DC778D">
            <w:pPr>
              <w:pStyle w:val="ListParagraph"/>
              <w:numPr>
                <w:ilvl w:val="0"/>
                <w:numId w:val="3"/>
              </w:numPr>
              <w:ind w:left="363"/>
              <w:jc w:val="both"/>
              <w:rPr>
                <w:rFonts w:cs="B Zar"/>
                <w:sz w:val="24"/>
                <w:szCs w:val="24"/>
                <w:rtl/>
              </w:rPr>
            </w:pPr>
            <w:r w:rsidRPr="004823CC">
              <w:rPr>
                <w:rFonts w:cs="B Zar" w:hint="cs"/>
                <w:sz w:val="24"/>
                <w:szCs w:val="24"/>
                <w:rtl/>
              </w:rPr>
              <w:t>مبلغ محاسبه شده برای هر ساعت کارکرد خودرو (در حال حرکت) واحد جمع آوری متکدیان سطح شهر 40 درصد بیشتر نسبت به مبلغ مندرج در ستون مبلغ پایه ردیف های یک و یا دو می باشد.</w:t>
            </w:r>
          </w:p>
          <w:p w14:paraId="5CE2DBAB" w14:textId="77777777" w:rsidR="004823CC" w:rsidRDefault="004823CC" w:rsidP="00DC778D">
            <w:pPr>
              <w:pStyle w:val="ListParagraph"/>
              <w:numPr>
                <w:ilvl w:val="0"/>
                <w:numId w:val="3"/>
              </w:numPr>
              <w:ind w:left="363"/>
              <w:jc w:val="both"/>
              <w:rPr>
                <w:rFonts w:cs="B Zar"/>
                <w:sz w:val="24"/>
                <w:szCs w:val="24"/>
              </w:rPr>
            </w:pPr>
            <w:r w:rsidRPr="004823CC">
              <w:rPr>
                <w:rFonts w:cs="B Zar" w:hint="cs"/>
                <w:sz w:val="24"/>
                <w:szCs w:val="24"/>
                <w:rtl/>
              </w:rPr>
              <w:t>مبلغ کارکرد محاسبه شده برای خودرو وانت نیسان (کمپرسی) بر اساس صورت وضعیت تنظیمی حوزه مربوطه است و مبلغ تعیین شده مندرج در ستون مبلغ پایه در ردیف شماره پنج بابت هر ساعت کارکرد خودرو می باشد.</w:t>
            </w:r>
          </w:p>
          <w:p w14:paraId="71D8ED82" w14:textId="343DD939" w:rsidR="00DC778D" w:rsidRPr="00DC778D" w:rsidRDefault="00DC778D" w:rsidP="00DC778D">
            <w:pPr>
              <w:pStyle w:val="ListParagraph"/>
              <w:numPr>
                <w:ilvl w:val="0"/>
                <w:numId w:val="3"/>
              </w:numPr>
              <w:ind w:left="363"/>
              <w:jc w:val="both"/>
              <w:rPr>
                <w:rFonts w:cs="B Zar" w:hint="cs"/>
                <w:sz w:val="24"/>
                <w:szCs w:val="24"/>
                <w:rtl/>
              </w:rPr>
            </w:pPr>
            <w:r w:rsidRPr="00DC778D">
              <w:rPr>
                <w:rFonts w:cs="B Zar" w:hint="cs"/>
                <w:sz w:val="24"/>
                <w:szCs w:val="24"/>
                <w:rtl/>
              </w:rPr>
              <w:t>خودروهای تاکسی، رنو پی</w:t>
            </w:r>
            <w:r w:rsidRPr="00DC778D">
              <w:rPr>
                <w:rFonts w:cs="B Zar" w:hint="cs"/>
                <w:sz w:val="24"/>
                <w:szCs w:val="24"/>
                <w:rtl/>
              </w:rPr>
              <w:t xml:space="preserve"> </w:t>
            </w:r>
            <w:r w:rsidRPr="00DC778D">
              <w:rPr>
                <w:rFonts w:cs="B Zar" w:hint="cs"/>
                <w:sz w:val="24"/>
                <w:szCs w:val="24"/>
                <w:rtl/>
              </w:rPr>
              <w:t xml:space="preserve">کی، پژو آردی و ام وی ام 110 و همچنین خودروهایی با مدل پایین تر از مدل های مندرج در </w:t>
            </w:r>
            <w:r w:rsidRPr="00DC778D">
              <w:rPr>
                <w:rFonts w:cs="B Zar" w:hint="cs"/>
                <w:sz w:val="24"/>
                <w:szCs w:val="24"/>
                <w:rtl/>
              </w:rPr>
              <w:t>جدول فوق</w:t>
            </w:r>
            <w:r w:rsidRPr="00DC778D">
              <w:rPr>
                <w:rFonts w:cs="B Zar" w:hint="cs"/>
                <w:sz w:val="24"/>
                <w:szCs w:val="24"/>
                <w:rtl/>
              </w:rPr>
              <w:t xml:space="preserve"> امکان شرکت در مناقصه را نداشته و در صورت شرکت در مناقصه به پیشنهاد قیمت آن اشخاص ترتیب اثر داده نمی شود.</w:t>
            </w:r>
          </w:p>
        </w:tc>
      </w:tr>
    </w:tbl>
    <w:p w14:paraId="148087F4" w14:textId="77777777" w:rsidR="00613ADD" w:rsidRPr="004823CC" w:rsidRDefault="00613ADD" w:rsidP="00124FDD"/>
    <w:sectPr w:rsidR="00613ADD" w:rsidRPr="004823CC" w:rsidSect="00124FDD">
      <w:pgSz w:w="16838" w:h="11906" w:orient="landscape" w:code="9"/>
      <w:pgMar w:top="567" w:right="1440" w:bottom="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4E31" w14:textId="77777777" w:rsidR="003844FF" w:rsidRDefault="003844FF" w:rsidP="00124FDD">
      <w:pPr>
        <w:spacing w:after="0" w:line="240" w:lineRule="auto"/>
      </w:pPr>
      <w:r>
        <w:separator/>
      </w:r>
    </w:p>
  </w:endnote>
  <w:endnote w:type="continuationSeparator" w:id="0">
    <w:p w14:paraId="0B12A725" w14:textId="77777777" w:rsidR="003844FF" w:rsidRDefault="003844FF" w:rsidP="00124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3D263" w14:textId="77777777" w:rsidR="003844FF" w:rsidRDefault="003844FF" w:rsidP="00124FDD">
      <w:pPr>
        <w:spacing w:after="0" w:line="240" w:lineRule="auto"/>
      </w:pPr>
      <w:r>
        <w:separator/>
      </w:r>
    </w:p>
  </w:footnote>
  <w:footnote w:type="continuationSeparator" w:id="0">
    <w:p w14:paraId="781BE31F" w14:textId="77777777" w:rsidR="003844FF" w:rsidRDefault="003844FF" w:rsidP="00124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97807"/>
    <w:multiLevelType w:val="hybridMultilevel"/>
    <w:tmpl w:val="500AE44C"/>
    <w:lvl w:ilvl="0" w:tplc="A080B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F3C99"/>
    <w:multiLevelType w:val="hybridMultilevel"/>
    <w:tmpl w:val="4E380F12"/>
    <w:lvl w:ilvl="0" w:tplc="A080B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C90086"/>
    <w:multiLevelType w:val="hybridMultilevel"/>
    <w:tmpl w:val="91FCDE00"/>
    <w:lvl w:ilvl="0" w:tplc="A080B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858783">
    <w:abstractNumId w:val="0"/>
  </w:num>
  <w:num w:numId="2" w16cid:durableId="534078969">
    <w:abstractNumId w:val="2"/>
  </w:num>
  <w:num w:numId="3" w16cid:durableId="717364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CC"/>
    <w:rsid w:val="00124FDD"/>
    <w:rsid w:val="003844FF"/>
    <w:rsid w:val="004823CC"/>
    <w:rsid w:val="00571150"/>
    <w:rsid w:val="00613ADD"/>
    <w:rsid w:val="009A4460"/>
    <w:rsid w:val="00BD2014"/>
    <w:rsid w:val="00CA7BBB"/>
    <w:rsid w:val="00DA47F3"/>
    <w:rsid w:val="00DC778D"/>
    <w:rsid w:val="00E82831"/>
    <w:rsid w:val="00EE1D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172F"/>
  <w15:chartTrackingRefBased/>
  <w15:docId w15:val="{DB083A5C-0BD1-4CF0-9E46-1C0496EA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CC"/>
    <w:pPr>
      <w:bidi/>
    </w:pPr>
  </w:style>
  <w:style w:type="paragraph" w:styleId="Heading1">
    <w:name w:val="heading 1"/>
    <w:basedOn w:val="Normal"/>
    <w:next w:val="Normal"/>
    <w:link w:val="Heading1Char"/>
    <w:uiPriority w:val="9"/>
    <w:qFormat/>
    <w:rsid w:val="004823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823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823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823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823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823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3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3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3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823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823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823C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823C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823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3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3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3CC"/>
    <w:rPr>
      <w:rFonts w:eastAsiaTheme="majorEastAsia" w:cstheme="majorBidi"/>
      <w:color w:val="272727" w:themeColor="text1" w:themeTint="D8"/>
    </w:rPr>
  </w:style>
  <w:style w:type="paragraph" w:styleId="Title">
    <w:name w:val="Title"/>
    <w:basedOn w:val="Normal"/>
    <w:next w:val="Normal"/>
    <w:link w:val="TitleChar"/>
    <w:uiPriority w:val="10"/>
    <w:qFormat/>
    <w:rsid w:val="00482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3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3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3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3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3CC"/>
    <w:rPr>
      <w:i/>
      <w:iCs/>
      <w:color w:val="404040" w:themeColor="text1" w:themeTint="BF"/>
    </w:rPr>
  </w:style>
  <w:style w:type="paragraph" w:styleId="ListParagraph">
    <w:name w:val="List Paragraph"/>
    <w:basedOn w:val="Normal"/>
    <w:uiPriority w:val="34"/>
    <w:qFormat/>
    <w:rsid w:val="004823CC"/>
    <w:pPr>
      <w:ind w:left="720"/>
      <w:contextualSpacing/>
    </w:pPr>
  </w:style>
  <w:style w:type="character" w:styleId="IntenseEmphasis">
    <w:name w:val="Intense Emphasis"/>
    <w:basedOn w:val="DefaultParagraphFont"/>
    <w:uiPriority w:val="21"/>
    <w:qFormat/>
    <w:rsid w:val="004823CC"/>
    <w:rPr>
      <w:i/>
      <w:iCs/>
      <w:color w:val="365F91" w:themeColor="accent1" w:themeShade="BF"/>
    </w:rPr>
  </w:style>
  <w:style w:type="paragraph" w:styleId="IntenseQuote">
    <w:name w:val="Intense Quote"/>
    <w:basedOn w:val="Normal"/>
    <w:next w:val="Normal"/>
    <w:link w:val="IntenseQuoteChar"/>
    <w:uiPriority w:val="30"/>
    <w:qFormat/>
    <w:rsid w:val="004823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23CC"/>
    <w:rPr>
      <w:i/>
      <w:iCs/>
      <w:color w:val="365F91" w:themeColor="accent1" w:themeShade="BF"/>
    </w:rPr>
  </w:style>
  <w:style w:type="character" w:styleId="IntenseReference">
    <w:name w:val="Intense Reference"/>
    <w:basedOn w:val="DefaultParagraphFont"/>
    <w:uiPriority w:val="32"/>
    <w:qFormat/>
    <w:rsid w:val="004823CC"/>
    <w:rPr>
      <w:b/>
      <w:bCs/>
      <w:smallCaps/>
      <w:color w:val="365F91" w:themeColor="accent1" w:themeShade="BF"/>
      <w:spacing w:val="5"/>
    </w:rPr>
  </w:style>
  <w:style w:type="table" w:styleId="TableGrid">
    <w:name w:val="Table Grid"/>
    <w:basedOn w:val="TableNormal"/>
    <w:uiPriority w:val="39"/>
    <w:rsid w:val="00482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DD"/>
  </w:style>
  <w:style w:type="paragraph" w:styleId="Footer">
    <w:name w:val="footer"/>
    <w:basedOn w:val="Normal"/>
    <w:link w:val="FooterChar"/>
    <w:uiPriority w:val="99"/>
    <w:unhideWhenUsed/>
    <w:rsid w:val="00124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Khakzadan</dc:creator>
  <cp:keywords/>
  <dc:description/>
  <cp:lastModifiedBy>Mostafa Khakzadan</cp:lastModifiedBy>
  <cp:revision>4</cp:revision>
  <dcterms:created xsi:type="dcterms:W3CDTF">2026-06-12T12:56:00Z</dcterms:created>
  <dcterms:modified xsi:type="dcterms:W3CDTF">2026-06-12T13:14:00Z</dcterms:modified>
</cp:coreProperties>
</file>